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E92C0EA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CE035D" w:rsidRPr="00CE0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2023年度 第19回 全道自治体職員フットサル大会 南ブロック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E92C0EA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CE035D" w:rsidRPr="00CE035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2023年度 第19回 全道自治体職員フットサル大会 南ブロック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863031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67EC" w14:textId="77777777" w:rsidR="00863031" w:rsidRDefault="00863031">
      <w:r>
        <w:separator/>
      </w:r>
    </w:p>
  </w:endnote>
  <w:endnote w:type="continuationSeparator" w:id="0">
    <w:p w14:paraId="70E8DF8F" w14:textId="77777777" w:rsidR="00863031" w:rsidRDefault="0086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5533" w14:textId="77777777" w:rsidR="00863031" w:rsidRDefault="00863031">
      <w:r>
        <w:separator/>
      </w:r>
    </w:p>
  </w:footnote>
  <w:footnote w:type="continuationSeparator" w:id="0">
    <w:p w14:paraId="2FAB2861" w14:textId="77777777" w:rsidR="00863031" w:rsidRDefault="0086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63031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CE035D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2024-01-29T04:25:00Z</dcterms:modified>
</cp:coreProperties>
</file>